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rtl w:val="0"/>
        </w:rPr>
        <w:t xml:space="preserve">CENTRO DE ESTUDIOS Y FORMACIÓN PARA EL ECODESARROLLO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– ALTER VIDA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Subvención: 2020-2021 Fondo Mundial de lucha contra el sida, la tuberculosis y la malaria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REFERENCIA 1- Cargo: Técnico de fortalecimiento de la vigilancia en servicios de salud.</w:t>
      </w:r>
    </w:p>
    <w:p w:rsidR="00000000" w:rsidDel="00000000" w:rsidP="00000000" w:rsidRDefault="00000000" w:rsidRPr="00000000" w14:paraId="00000006">
      <w:pPr>
        <w:tabs>
          <w:tab w:val="left" w:pos="-720"/>
          <w:tab w:val="left" w:pos="0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03"/>
        <w:gridCol w:w="4803"/>
        <w:tblGridChange w:id="0">
          <w:tblGrid>
            <w:gridCol w:w="4803"/>
            <w:gridCol w:w="4803"/>
          </w:tblGrid>
        </w:tblGridChange>
      </w:tblGrid>
      <w:tr>
        <w:trPr>
          <w:trHeight w:val="42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numPr>
                <w:ilvl w:val="0"/>
                <w:numId w:val="3"/>
              </w:numPr>
              <w:tabs>
                <w:tab w:val="left" w:pos="-720"/>
                <w:tab w:val="left" w:pos="0"/>
              </w:tabs>
              <w:ind w:left="720" w:hanging="36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OBJETIVO DEL PROYECTO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3"/>
              </w:numPr>
              <w:tabs>
                <w:tab w:val="left" w:pos="-720"/>
                <w:tab w:val="left" w:pos="0"/>
              </w:tabs>
              <w:ind w:left="720" w:hanging="36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OBJETIVO DE LA CONTRATACIÓN</w:t>
            </w:r>
          </w:p>
        </w:tc>
      </w:tr>
      <w:tr>
        <w:trPr>
          <w:trHeight w:val="350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ind w:left="314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Mejorar la tasa de detección de SR en los distritos priorizados, en comunidades indígenas y cárceles. 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ind w:left="314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Alcanzar las metas de éxito de tratamiento, con estrategias innovadoras de promoción de pares y movilización comunitaria.  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ind w:left="314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Realizar acciones de abogacía para la aprobación y reglamentación de la Ley de Control de la TB y establecimiento de alianzas con programas de protección social para los pacientes con TB.  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ind w:left="314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Fortalecer las actividades colaborativas TB-VIH. 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ind w:left="314" w:hanging="36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Fortalecer la gestión y el liderazgo del LCSP y los laboratorios de la red.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left="284" w:right="99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Apoyar al responsable del área, a definir, establecer y dar seguimiento al sistema de gestión y vigilancia de la tuberculosis a ser aplicado en los servicios de salud seleccionados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DESCRIPCIÓN DE FUNCIONES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Apoyar la revisión y actualización de la estrategia de gestión y vigilancia de la TB a nivel distrital y local, alineada a la Política del Ministerio de Salud.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Implementar el protocolo de gestión y vigilancia de la TB a nivel distrital y Local.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Realizar las jornadas y visitas de trabajo en distritos seleccionados para el análisis de la situación de salud y de TB distrital y de cada servicio dependiente.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Organizar y realizar reuniones informativas con actores del servicio distrital y local y de la comunidad para verificar la situación de la TB en la zona y validar el análisis realizado.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Asesorar en la definición de estrategias de vigilancia de la TB por servicio en base al análisis de la situación.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Brindar capacitaciones al personal de salud y otros, de acuerdo a la situación encontrada y a la estrategia definida.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Acompañar, dar seguimiento y evaluar las actividades y los avances de cada servicio de la aplicación del protocolo de vigilancia adaptado al mismo.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Elaborar un informe sobre los resultados logrados en los servicios de salud en los cuales se aplique el protocolo de vigilancia.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Apoyar al responsable del área, en la sistematización del proceso de trabajo desarrollado y los resultados logrados.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Elaborar informes semestrales y anuales por regiones visitadas.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Apoyar para la organización del evento de socialización de los resultados obtenidos a direcciones generales del MSP y Directores de Regiones involucradas.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Presentar a Alter Vida los informes mensuales general de las actividades realizadas.</w:t>
      </w:r>
    </w:p>
    <w:p w:rsidR="00000000" w:rsidDel="00000000" w:rsidP="00000000" w:rsidRDefault="00000000" w:rsidRPr="00000000" w14:paraId="0000001F">
      <w:pPr>
        <w:tabs>
          <w:tab w:val="left" w:pos="2812"/>
        </w:tabs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PRODUCTOS O RESULTADOS ESPERADOS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Estrategia y protocolo de gestión y vigilancia de la TB a nivel distrital y local, alineada a la Política del Ministerio de Salud elaborados y entregados.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Informes mensuales de todas las actividades realizadas a nivel de servicios de salud local y distrital, así como en el PNCT, con un análisis que incluya la apreciación y calificación sobre los resultados logrados.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Informes de las capacitaciones realizadas a diferentes niveles presentados.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Sistematización de la experiencia sobre gestión y vigilancia de la tuberculosis, elaborado en forma conjunta con el equipo de trabajo.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SUPERVISIÓN Y COORDINACIÓN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Dependerá del Médico Coordinador del equipo de trabajo, quien a su vez dependerá de la Dirección del Programa Nacional de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Control de la Tuberculosis.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CARGA HORARIA Y RÉGIMEN DE TRABAJO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persona seleccionada será contratada bajo el régimen de contrato de servicios, debiendo cumplir 132 horas mensuales y, horas adicionales para trabajo de campo en el interior del país.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Horario de oficina, de lunes a viernes de 07:00 a 13:00 hs., para el trabajo de campo en el interior del país, según cronograma de trabajo.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duración del contrato es por 2 años según Proyecto aprobado, sujeto a evaluaciones de desempeño anuales.</w:t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 remuneración mensual será de Gs. 3.600.000 (IVA incluido). 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El lugar habitual de trabajo es el Programa Nacional de Control de la Tuberculosis, sito en Venezuela y Víctor Hugo – Asunción y, las ciudades de los Departamentos seleccionados para el trabajo de campo.</w:t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CONDICIONES DE TRABAJO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Disponibilidad para viajes y trabajo en el interior del país (no excluyente).</w:t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PERFIL REQUERIDO: 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Profesional de la carrera de Licenciatura en Enfermería u Obstetricia (excluyente). 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Experiencia laboral general de 2 años (no excluyente). 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Preferentemente experiencia específica en Salud Pública mínima de 1 año (no excluyente). 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Curso de especialización en Salud Pública y/o Administración Hospitalaria (no excluyente). 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Conocimientos y manejo de herramientas informáticas en: Procesador de texto, planilla electrónica, presentaciones en Power Point, correo electrónico y manejo de Internet. 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Disponibilidad para viajes al interior del país y trabajo en el campo. </w:t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COMPETENCIAS NECESARIAS: 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Iniciativa, con visión estratégica. 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Capacidad de relacionamiento interpersonal. 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Habilidad para liderar equipos de trabajo. 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Capacidad de negociación individual y colectiva. 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Capacidad en la toma de decisiones, resolución de problemas y en la administración de conflictos. </w:t>
      </w:r>
    </w:p>
    <w:p w:rsidR="00000000" w:rsidDel="00000000" w:rsidP="00000000" w:rsidRDefault="00000000" w:rsidRPr="00000000" w14:paraId="00000045">
      <w:pPr>
        <w:ind w:left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DOCUMENTACIONES REQUERIDAS: 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Hoja de vida del postulante. 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Fotocopia de Título Universitario y Registro Profesional actualizado. 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Fotocopia de C.I. 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Fotocopias de certificados de cursos, talleres, congresos etc. de los últimos 10 años, relacionados al cargo. 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Título de especialización o constancia de estudios en caso de ser estudiante, expedido por la Institución correspondiente al año en curso. 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Antecedentes Policial y Judicial (original y vigente), solo en caso de ser seleccionado/a. </w:t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left" w:pos="-720"/>
          <w:tab w:val="left" w:pos="0"/>
        </w:tabs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pos="-720"/>
          <w:tab w:val="left" w:pos="0"/>
        </w:tabs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7"/>
      <w:pgMar w:bottom="1438" w:top="1559.0551181102362" w:left="1418" w:right="1134" w:header="720" w:footer="51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50800</wp:posOffset>
              </wp:positionV>
              <wp:extent cx="6010275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40863" y="378000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50800</wp:posOffset>
              </wp:positionV>
              <wp:extent cx="6010275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1027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“Atención integral con compromiso intersectorial hacia la eliminación de la TB en Paraguay”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Financiado por el Fondo Mundial de lucha contra el sida, la tuberculosis y la malaria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shd w:fill="auto" w:val="clear"/>
        <w:vertAlign w:val="baseline"/>
      </w:rPr>
    </w:pPr>
    <w:r w:rsidDel="00000000" w:rsidR="00000000" w:rsidRPr="00000000">
      <w:rPr>
        <w:rtl w:val="0"/>
      </w:rPr>
      <w:t xml:space="preserve">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4552950</wp:posOffset>
          </wp:positionH>
          <wp:positionV relativeFrom="paragraph">
            <wp:posOffset>-161924</wp:posOffset>
          </wp:positionV>
          <wp:extent cx="1434465" cy="615315"/>
          <wp:effectExtent b="0" l="0" r="0" t="0"/>
          <wp:wrapSquare wrapText="bothSides" distB="0" distT="0" distL="114300" distR="114300"/>
          <wp:docPr descr="av" id="2" name="image2.jpg"/>
          <a:graphic>
            <a:graphicData uri="http://schemas.openxmlformats.org/drawingml/2006/picture">
              <pic:pic>
                <pic:nvPicPr>
                  <pic:cNvPr descr="av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4465" cy="6153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Arial" w:cs="Arial" w:eastAsia="Arial" w:hAnsi="Arial"/>
      <w:sz w:val="20"/>
      <w:szCs w:val="20"/>
      <w:u w:val="single"/>
    </w:rPr>
  </w:style>
  <w:style w:type="paragraph" w:styleId="Heading2">
    <w:name w:val="heading 2"/>
    <w:basedOn w:val="Normal"/>
    <w:next w:val="Normal"/>
    <w:pPr>
      <w:keepNext w:val="1"/>
      <w:ind w:left="4956" w:firstLine="707.9999999999995"/>
      <w:jc w:val="both"/>
    </w:pPr>
    <w:rPr>
      <w:rFonts w:ascii="Arial" w:cs="Arial" w:eastAsia="Arial" w:hAnsi="Arial"/>
      <w:sz w:val="18"/>
      <w:szCs w:val="18"/>
      <w:u w:val="single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rial" w:cs="Arial" w:eastAsia="Arial" w:hAnsi="Arial"/>
      <w:sz w:val="18"/>
      <w:szCs w:val="18"/>
      <w:u w:val="single"/>
    </w:rPr>
  </w:style>
  <w:style w:type="paragraph" w:styleId="Heading4">
    <w:name w:val="heading 4"/>
    <w:basedOn w:val="Normal"/>
    <w:next w:val="Normal"/>
    <w:pPr>
      <w:keepNext w:val="1"/>
      <w:ind w:firstLine="708"/>
      <w:jc w:val="both"/>
    </w:pPr>
    <w:rPr>
      <w:rFonts w:ascii="Arial" w:cs="Arial" w:eastAsia="Arial" w:hAnsi="Arial"/>
      <w:b w:val="1"/>
      <w:sz w:val="18"/>
      <w:szCs w:val="18"/>
    </w:rPr>
  </w:style>
  <w:style w:type="paragraph" w:styleId="Heading5">
    <w:name w:val="heading 5"/>
    <w:basedOn w:val="Normal"/>
    <w:next w:val="Normal"/>
    <w:pPr>
      <w:keepNext w:val="1"/>
      <w:jc w:val="both"/>
    </w:pPr>
    <w:rPr>
      <w:rFonts w:ascii="Arial" w:cs="Arial" w:eastAsia="Arial" w:hAnsi="Arial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sz w:val="20"/>
      <w:szCs w:val="20"/>
      <w:u w:val="single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